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79621C">
      <w:pPr>
        <w:pStyle w:val="8"/>
        <w:jc w:val="center"/>
        <w:outlineLvl w:val="2"/>
        <w:rPr>
          <w:rFonts w:hint="eastAsia" w:ascii="宋体" w:hAnsi="宋体" w:eastAsia="宋体" w:cs="宋体"/>
          <w:lang w:eastAsia="zh-CN"/>
        </w:rPr>
      </w:pPr>
      <w:bookmarkStart w:id="0" w:name="_GoBack"/>
      <w:bookmarkEnd w:id="0"/>
      <w:r>
        <w:rPr>
          <w:rFonts w:hint="eastAsia" w:ascii="宋体" w:hAnsi="宋体" w:eastAsia="宋体" w:cs="宋体"/>
          <w:b/>
          <w:sz w:val="28"/>
          <w:lang w:val="en-US" w:eastAsia="zh-CN"/>
        </w:rPr>
        <w:t>商务</w:t>
      </w:r>
      <w:r>
        <w:rPr>
          <w:rFonts w:hint="eastAsia" w:ascii="宋体" w:hAnsi="宋体" w:eastAsia="宋体" w:cs="宋体"/>
          <w:b/>
          <w:sz w:val="28"/>
        </w:rPr>
        <w:t>要求</w:t>
      </w:r>
      <w:r>
        <w:rPr>
          <w:rFonts w:hint="eastAsia" w:ascii="宋体" w:hAnsi="宋体" w:eastAsia="宋体" w:cs="宋体"/>
          <w:b/>
          <w:sz w:val="28"/>
          <w:lang w:eastAsia="zh-CN"/>
        </w:rPr>
        <w:t>（</w:t>
      </w:r>
      <w:r>
        <w:rPr>
          <w:rFonts w:hint="eastAsia" w:ascii="宋体" w:hAnsi="宋体" w:eastAsia="宋体" w:cs="宋体"/>
          <w:b/>
          <w:sz w:val="28"/>
          <w:lang w:val="en-US" w:eastAsia="zh-CN"/>
        </w:rPr>
        <w:t>实质性要求</w:t>
      </w:r>
      <w:r>
        <w:rPr>
          <w:rFonts w:hint="eastAsia" w:ascii="宋体" w:hAnsi="宋体" w:eastAsia="宋体" w:cs="宋体"/>
          <w:b/>
          <w:sz w:val="28"/>
          <w:lang w:eastAsia="zh-CN"/>
        </w:rPr>
        <w:t>）</w:t>
      </w:r>
    </w:p>
    <w:tbl>
      <w:tblPr>
        <w:tblStyle w:val="6"/>
        <w:tblW w:w="0" w:type="auto"/>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92"/>
        <w:gridCol w:w="1495"/>
        <w:gridCol w:w="5814"/>
      </w:tblGrid>
      <w:tr w14:paraId="42A1CA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2" w:type="dxa"/>
          </w:tcPr>
          <w:p w14:paraId="4BB0408A">
            <w:pPr>
              <w:pStyle w:val="8"/>
              <w:keepNext w:val="0"/>
              <w:keepLines w:val="0"/>
              <w:pageBreakBefore w:val="0"/>
              <w:kinsoku/>
              <w:wordWrap/>
              <w:overflowPunct/>
              <w:topLinePunct w:val="0"/>
              <w:autoSpaceDE/>
              <w:autoSpaceDN/>
              <w:bidi w:val="0"/>
              <w:adjustRightInd/>
              <w:snapToGrid w:val="0"/>
              <w:spacing w:line="288" w:lineRule="auto"/>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序号</w:t>
            </w:r>
          </w:p>
        </w:tc>
        <w:tc>
          <w:tcPr>
            <w:tcW w:w="1495" w:type="dxa"/>
          </w:tcPr>
          <w:p w14:paraId="79040461">
            <w:pPr>
              <w:pStyle w:val="8"/>
              <w:keepNext w:val="0"/>
              <w:keepLines w:val="0"/>
              <w:pageBreakBefore w:val="0"/>
              <w:kinsoku/>
              <w:wordWrap/>
              <w:overflowPunct/>
              <w:topLinePunct w:val="0"/>
              <w:autoSpaceDE/>
              <w:autoSpaceDN/>
              <w:bidi w:val="0"/>
              <w:adjustRightInd/>
              <w:snapToGrid w:val="0"/>
              <w:spacing w:line="288" w:lineRule="auto"/>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名称</w:t>
            </w:r>
          </w:p>
        </w:tc>
        <w:tc>
          <w:tcPr>
            <w:tcW w:w="5814" w:type="dxa"/>
          </w:tcPr>
          <w:p w14:paraId="7E82CC0F">
            <w:pPr>
              <w:pStyle w:val="8"/>
              <w:keepNext w:val="0"/>
              <w:keepLines w:val="0"/>
              <w:pageBreakBefore w:val="0"/>
              <w:kinsoku/>
              <w:wordWrap/>
              <w:overflowPunct/>
              <w:topLinePunct w:val="0"/>
              <w:autoSpaceDE/>
              <w:autoSpaceDN/>
              <w:bidi w:val="0"/>
              <w:adjustRightInd/>
              <w:snapToGrid w:val="0"/>
              <w:spacing w:line="288" w:lineRule="auto"/>
              <w:jc w:val="left"/>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要求内容</w:t>
            </w:r>
          </w:p>
        </w:tc>
      </w:tr>
      <w:tr w14:paraId="66A5FE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2" w:type="dxa"/>
          </w:tcPr>
          <w:p w14:paraId="0DD7A8D9">
            <w:pPr>
              <w:pStyle w:val="8"/>
              <w:keepNext w:val="0"/>
              <w:keepLines w:val="0"/>
              <w:pageBreakBefore w:val="0"/>
              <w:numPr>
                <w:ilvl w:val="0"/>
                <w:numId w:val="1"/>
              </w:numPr>
              <w:kinsoku/>
              <w:wordWrap/>
              <w:overflowPunct/>
              <w:topLinePunct w:val="0"/>
              <w:autoSpaceDE/>
              <w:autoSpaceDN/>
              <w:bidi w:val="0"/>
              <w:adjustRightInd/>
              <w:snapToGrid w:val="0"/>
              <w:spacing w:line="288" w:lineRule="auto"/>
              <w:ind w:left="425" w:leftChars="0" w:hanging="425" w:firstLineChars="0"/>
              <w:jc w:val="center"/>
              <w:textAlignment w:val="auto"/>
              <w:rPr>
                <w:rFonts w:hint="eastAsia" w:ascii="宋体" w:hAnsi="宋体" w:eastAsia="宋体" w:cs="宋体"/>
                <w:sz w:val="21"/>
                <w:szCs w:val="21"/>
                <w:lang w:val="en-US" w:eastAsia="zh-CN"/>
              </w:rPr>
            </w:pPr>
          </w:p>
        </w:tc>
        <w:tc>
          <w:tcPr>
            <w:tcW w:w="1495" w:type="dxa"/>
          </w:tcPr>
          <w:p w14:paraId="024AA280">
            <w:pPr>
              <w:pStyle w:val="8"/>
              <w:keepNext w:val="0"/>
              <w:keepLines w:val="0"/>
              <w:pageBreakBefore w:val="0"/>
              <w:kinsoku/>
              <w:wordWrap/>
              <w:overflowPunct/>
              <w:topLinePunct w:val="0"/>
              <w:autoSpaceDE/>
              <w:autoSpaceDN/>
              <w:bidi w:val="0"/>
              <w:adjustRightInd/>
              <w:snapToGrid w:val="0"/>
              <w:spacing w:line="288" w:lineRule="auto"/>
              <w:jc w:val="left"/>
              <w:textAlignment w:val="auto"/>
              <w:rPr>
                <w:rFonts w:hint="eastAsia" w:ascii="宋体" w:hAnsi="宋体" w:eastAsia="宋体" w:cs="宋体"/>
                <w:sz w:val="21"/>
                <w:szCs w:val="21"/>
              </w:rPr>
            </w:pPr>
            <w:r>
              <w:rPr>
                <w:rFonts w:hint="eastAsia" w:ascii="宋体" w:hAnsi="宋体" w:eastAsia="宋体" w:cs="宋体"/>
                <w:kern w:val="0"/>
                <w:sz w:val="21"/>
                <w:szCs w:val="21"/>
                <w:lang w:val="en-US" w:eastAsia="zh-CN"/>
              </w:rPr>
              <w:t xml:space="preserve">质量服务要求 </w:t>
            </w:r>
          </w:p>
        </w:tc>
        <w:tc>
          <w:tcPr>
            <w:tcW w:w="5814" w:type="dxa"/>
          </w:tcPr>
          <w:p w14:paraId="1AA4D26D">
            <w:pPr>
              <w:numPr>
                <w:ilvl w:val="0"/>
                <w:numId w:val="2"/>
              </w:numPr>
              <w:ind w:left="425" w:leftChars="0" w:hanging="425" w:firstLineChars="0"/>
              <w:rPr>
                <w:rFonts w:hint="eastAsia"/>
                <w:lang w:val="en-US" w:eastAsia="zh-CN"/>
              </w:rPr>
            </w:pPr>
            <w:r>
              <w:rPr>
                <w:rFonts w:hint="eastAsia"/>
                <w:lang w:val="en-US" w:eastAsia="zh-CN"/>
              </w:rPr>
              <w:t xml:space="preserve">投标人提供的相应货物必须满足招标文件中要求的规格型号同等质量产品及国家相关标准，未经采购人同意不允许以其他产品代替。（提供承诺函并加盖投标人公章） </w:t>
            </w:r>
          </w:p>
          <w:p w14:paraId="02D9261B">
            <w:pPr>
              <w:numPr>
                <w:ilvl w:val="0"/>
                <w:numId w:val="2"/>
              </w:numPr>
              <w:ind w:left="425" w:leftChars="0" w:hanging="425" w:firstLineChars="0"/>
              <w:rPr>
                <w:rFonts w:hint="eastAsia"/>
                <w:lang w:val="en-US" w:eastAsia="zh-CN"/>
              </w:rPr>
            </w:pPr>
            <w:r>
              <w:rPr>
                <w:rFonts w:hint="eastAsia"/>
                <w:lang w:val="en-US" w:eastAsia="zh-CN"/>
              </w:rPr>
              <w:t xml:space="preserve">投标人提供的货物质保期到期时间必须距配送时间3个月以上，如有特殊情况，需取得采购人同意，否则由中标人负完全责任。（提供承诺函并加盖投标人公章） </w:t>
            </w:r>
          </w:p>
          <w:p w14:paraId="5B9F70B2">
            <w:pPr>
              <w:numPr>
                <w:ilvl w:val="0"/>
                <w:numId w:val="2"/>
              </w:numPr>
              <w:ind w:left="425" w:leftChars="0" w:hanging="425" w:firstLineChars="0"/>
              <w:rPr>
                <w:rFonts w:hint="eastAsia"/>
                <w:lang w:val="en-US" w:eastAsia="zh-CN"/>
              </w:rPr>
            </w:pPr>
            <w:r>
              <w:rPr>
                <w:rFonts w:hint="eastAsia"/>
                <w:lang w:val="en-US" w:eastAsia="zh-CN"/>
              </w:rPr>
              <w:t xml:space="preserve">投标人交货时所提供的货物必须是符合招标目录的全新合格品。并保证所有产品包装完整，附有产品合格证及使用说明书。（提供承诺函并加盖投标人公章） </w:t>
            </w:r>
          </w:p>
          <w:p w14:paraId="2E58E6BB">
            <w:pPr>
              <w:numPr>
                <w:ilvl w:val="0"/>
                <w:numId w:val="2"/>
              </w:numPr>
              <w:ind w:left="425" w:leftChars="0" w:hanging="425" w:firstLineChars="0"/>
              <w:rPr>
                <w:rFonts w:hint="eastAsia"/>
                <w:lang w:val="en-US" w:eastAsia="zh-CN"/>
              </w:rPr>
            </w:pPr>
            <w:r>
              <w:rPr>
                <w:rFonts w:hint="eastAsia"/>
                <w:lang w:val="en-US" w:eastAsia="zh-CN"/>
              </w:rPr>
              <w:t xml:space="preserve">投标人所提供的货物质量在质保期内出现问题必须在两个工作日内完成三包服务，质保期按投标人的服务承诺为准。（提供承诺函并加盖投标人公章） </w:t>
            </w:r>
          </w:p>
          <w:p w14:paraId="23EC24E7">
            <w:pPr>
              <w:numPr>
                <w:ilvl w:val="0"/>
                <w:numId w:val="2"/>
              </w:numPr>
              <w:ind w:left="425" w:leftChars="0" w:hanging="425" w:firstLineChars="0"/>
              <w:rPr>
                <w:rFonts w:hint="eastAsia"/>
                <w:lang w:val="en-US" w:eastAsia="zh-CN"/>
              </w:rPr>
            </w:pPr>
            <w:r>
              <w:rPr>
                <w:rFonts w:hint="eastAsia"/>
                <w:lang w:val="en-US" w:eastAsia="zh-CN"/>
              </w:rPr>
              <w:t xml:space="preserve">合同期内，采购方因教学原因需要临时采购单瓶化学试剂或者零星耗材，投标人须在60分钟内响应并安排人员送货上门。因服务不及时导致严重不良事件的，采购方可终止合同。（提供承诺函并加盖投标人公章） </w:t>
            </w:r>
          </w:p>
          <w:p w14:paraId="6BF92B3F">
            <w:pPr>
              <w:numPr>
                <w:ilvl w:val="0"/>
                <w:numId w:val="2"/>
              </w:numPr>
              <w:ind w:left="425" w:leftChars="0" w:hanging="425" w:firstLineChars="0"/>
              <w:rPr>
                <w:rFonts w:hint="eastAsia"/>
              </w:rPr>
            </w:pPr>
            <w:r>
              <w:rPr>
                <w:rFonts w:hint="eastAsia"/>
                <w:lang w:val="en-US" w:eastAsia="zh-CN"/>
              </w:rPr>
              <w:t>逾期交货：每逾期1天按该批次订单金额0.5%计取违约金，逾期超7天，采购人有权单方解除合同、没收履约保证金、另行采购，差价及损失全部由乙方承担。（提供承诺函并加盖投标人公章）</w:t>
            </w:r>
          </w:p>
          <w:p w14:paraId="1C23783E">
            <w:pPr>
              <w:numPr>
                <w:ilvl w:val="0"/>
                <w:numId w:val="2"/>
              </w:numPr>
              <w:ind w:left="425" w:leftChars="0" w:hanging="425" w:firstLineChars="0"/>
              <w:rPr>
                <w:rFonts w:hint="eastAsia"/>
              </w:rPr>
            </w:pPr>
            <w:r>
              <w:rPr>
                <w:rFonts w:hint="eastAsia"/>
                <w:lang w:val="en-US" w:eastAsia="zh-CN"/>
              </w:rPr>
              <w:t>出现以次充好、替代冒充、翻新假货、参数不符等情况，直接认定严重违约，取消供货资格、拉入合作黑名单，3年内不得参与采购人同类项目。（提供承诺函并加盖投标人公章）</w:t>
            </w:r>
          </w:p>
          <w:p w14:paraId="63429380">
            <w:pPr>
              <w:numPr>
                <w:ilvl w:val="0"/>
                <w:numId w:val="2"/>
              </w:numPr>
              <w:ind w:left="425" w:leftChars="0" w:hanging="425" w:firstLineChars="0"/>
              <w:rPr>
                <w:rFonts w:hint="eastAsia"/>
              </w:rPr>
            </w:pPr>
            <w:r>
              <w:rPr>
                <w:rFonts w:hint="eastAsia"/>
                <w:lang w:val="en-US" w:eastAsia="zh-CN"/>
              </w:rPr>
              <w:t>售后服务拒不响应、拖延处置，采购人有权委托第三方供货，产生所有费用双倍从乙方货款及保证金中扣除。（提供承诺函并加盖投标人公章）</w:t>
            </w:r>
          </w:p>
        </w:tc>
      </w:tr>
      <w:tr w14:paraId="1937D7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2" w:type="dxa"/>
          </w:tcPr>
          <w:p w14:paraId="31E00388">
            <w:pPr>
              <w:pStyle w:val="8"/>
              <w:keepNext w:val="0"/>
              <w:keepLines w:val="0"/>
              <w:pageBreakBefore w:val="0"/>
              <w:numPr>
                <w:ilvl w:val="0"/>
                <w:numId w:val="1"/>
              </w:numPr>
              <w:kinsoku/>
              <w:wordWrap/>
              <w:overflowPunct/>
              <w:topLinePunct w:val="0"/>
              <w:autoSpaceDE/>
              <w:autoSpaceDN/>
              <w:bidi w:val="0"/>
              <w:adjustRightInd/>
              <w:snapToGrid w:val="0"/>
              <w:spacing w:line="288" w:lineRule="auto"/>
              <w:ind w:left="425" w:leftChars="0" w:hanging="425" w:firstLineChars="0"/>
              <w:jc w:val="center"/>
              <w:textAlignment w:val="auto"/>
              <w:rPr>
                <w:rFonts w:hint="eastAsia" w:ascii="宋体" w:hAnsi="宋体" w:eastAsia="宋体" w:cs="宋体"/>
                <w:sz w:val="21"/>
                <w:szCs w:val="21"/>
                <w:lang w:val="en-US" w:eastAsia="zh-CN"/>
              </w:rPr>
            </w:pPr>
          </w:p>
        </w:tc>
        <w:tc>
          <w:tcPr>
            <w:tcW w:w="1495" w:type="dxa"/>
          </w:tcPr>
          <w:p w14:paraId="25A8C076">
            <w:pPr>
              <w:pStyle w:val="8"/>
              <w:keepNext w:val="0"/>
              <w:keepLines w:val="0"/>
              <w:pageBreakBefore w:val="0"/>
              <w:kinsoku/>
              <w:wordWrap/>
              <w:overflowPunct/>
              <w:topLinePunct w:val="0"/>
              <w:autoSpaceDE/>
              <w:autoSpaceDN/>
              <w:bidi w:val="0"/>
              <w:adjustRightInd/>
              <w:snapToGrid w:val="0"/>
              <w:spacing w:line="288" w:lineRule="auto"/>
              <w:jc w:val="left"/>
              <w:textAlignment w:val="auto"/>
              <w:rPr>
                <w:rFonts w:hint="eastAsia" w:ascii="宋体" w:hAnsi="宋体" w:eastAsia="宋体" w:cs="宋体"/>
                <w:sz w:val="21"/>
                <w:szCs w:val="21"/>
              </w:rPr>
            </w:pPr>
            <w:r>
              <w:rPr>
                <w:rFonts w:hint="eastAsia" w:ascii="宋体" w:hAnsi="宋体" w:eastAsia="宋体" w:cs="宋体"/>
                <w:sz w:val="21"/>
                <w:szCs w:val="21"/>
              </w:rPr>
              <w:t>交货时间</w:t>
            </w:r>
          </w:p>
        </w:tc>
        <w:tc>
          <w:tcPr>
            <w:tcW w:w="5814" w:type="dxa"/>
          </w:tcPr>
          <w:p w14:paraId="162CA2A5">
            <w:pPr>
              <w:pStyle w:val="8"/>
              <w:keepNext w:val="0"/>
              <w:keepLines w:val="0"/>
              <w:pageBreakBefore w:val="0"/>
              <w:kinsoku/>
              <w:wordWrap/>
              <w:overflowPunct/>
              <w:topLinePunct w:val="0"/>
              <w:autoSpaceDE/>
              <w:autoSpaceDN/>
              <w:bidi w:val="0"/>
              <w:adjustRightInd/>
              <w:snapToGrid w:val="0"/>
              <w:spacing w:line="288" w:lineRule="auto"/>
              <w:jc w:val="left"/>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常规耗材24小时内，应急耗材1小时内</w:t>
            </w:r>
          </w:p>
        </w:tc>
      </w:tr>
      <w:tr w14:paraId="1BB18E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2" w:type="dxa"/>
          </w:tcPr>
          <w:p w14:paraId="34A63058">
            <w:pPr>
              <w:pStyle w:val="8"/>
              <w:keepNext w:val="0"/>
              <w:keepLines w:val="0"/>
              <w:pageBreakBefore w:val="0"/>
              <w:numPr>
                <w:ilvl w:val="0"/>
                <w:numId w:val="1"/>
              </w:numPr>
              <w:kinsoku/>
              <w:wordWrap/>
              <w:overflowPunct/>
              <w:topLinePunct w:val="0"/>
              <w:autoSpaceDE/>
              <w:autoSpaceDN/>
              <w:bidi w:val="0"/>
              <w:adjustRightInd/>
              <w:snapToGrid w:val="0"/>
              <w:spacing w:line="288" w:lineRule="auto"/>
              <w:ind w:left="425" w:leftChars="0" w:hanging="425" w:firstLineChars="0"/>
              <w:jc w:val="center"/>
              <w:textAlignment w:val="auto"/>
              <w:rPr>
                <w:rFonts w:hint="eastAsia" w:ascii="宋体" w:hAnsi="宋体" w:eastAsia="宋体" w:cs="宋体"/>
                <w:sz w:val="21"/>
                <w:szCs w:val="21"/>
                <w:lang w:val="en-US" w:eastAsia="zh-CN"/>
              </w:rPr>
            </w:pPr>
          </w:p>
        </w:tc>
        <w:tc>
          <w:tcPr>
            <w:tcW w:w="1495" w:type="dxa"/>
          </w:tcPr>
          <w:p w14:paraId="2458DC6F">
            <w:pPr>
              <w:pStyle w:val="8"/>
              <w:keepNext w:val="0"/>
              <w:keepLines w:val="0"/>
              <w:pageBreakBefore w:val="0"/>
              <w:kinsoku/>
              <w:wordWrap/>
              <w:overflowPunct/>
              <w:topLinePunct w:val="0"/>
              <w:autoSpaceDE/>
              <w:autoSpaceDN/>
              <w:bidi w:val="0"/>
              <w:adjustRightInd/>
              <w:snapToGrid w:val="0"/>
              <w:spacing w:line="288" w:lineRule="auto"/>
              <w:jc w:val="left"/>
              <w:textAlignment w:val="auto"/>
              <w:rPr>
                <w:rFonts w:hint="eastAsia" w:ascii="宋体" w:hAnsi="宋体" w:eastAsia="宋体" w:cs="宋体"/>
                <w:sz w:val="21"/>
                <w:szCs w:val="21"/>
              </w:rPr>
            </w:pPr>
            <w:r>
              <w:rPr>
                <w:rFonts w:hint="eastAsia" w:ascii="宋体" w:hAnsi="宋体" w:eastAsia="宋体" w:cs="宋体"/>
                <w:sz w:val="21"/>
                <w:szCs w:val="21"/>
              </w:rPr>
              <w:t>交货地点</w:t>
            </w:r>
          </w:p>
        </w:tc>
        <w:tc>
          <w:tcPr>
            <w:tcW w:w="5814" w:type="dxa"/>
          </w:tcPr>
          <w:p w14:paraId="0D89721A">
            <w:pPr>
              <w:pStyle w:val="8"/>
              <w:keepNext w:val="0"/>
              <w:keepLines w:val="0"/>
              <w:pageBreakBefore w:val="0"/>
              <w:kinsoku/>
              <w:wordWrap/>
              <w:overflowPunct/>
              <w:topLinePunct w:val="0"/>
              <w:autoSpaceDE/>
              <w:autoSpaceDN/>
              <w:bidi w:val="0"/>
              <w:adjustRightInd/>
              <w:snapToGrid w:val="0"/>
              <w:spacing w:line="288" w:lineRule="auto"/>
              <w:jc w:val="left"/>
              <w:textAlignment w:val="auto"/>
              <w:rPr>
                <w:rFonts w:hint="eastAsia" w:ascii="宋体" w:hAnsi="宋体" w:eastAsia="宋体" w:cs="宋体"/>
                <w:sz w:val="21"/>
                <w:szCs w:val="21"/>
              </w:rPr>
            </w:pPr>
            <w:r>
              <w:rPr>
                <w:rFonts w:hint="eastAsia" w:ascii="宋体" w:hAnsi="宋体" w:eastAsia="宋体" w:cs="宋体"/>
                <w:sz w:val="21"/>
                <w:szCs w:val="21"/>
              </w:rPr>
              <w:t>采购人指定地点</w:t>
            </w:r>
          </w:p>
        </w:tc>
      </w:tr>
      <w:tr w14:paraId="25CB77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2" w:type="dxa"/>
          </w:tcPr>
          <w:p w14:paraId="57EDFAAE">
            <w:pPr>
              <w:pStyle w:val="8"/>
              <w:keepNext w:val="0"/>
              <w:keepLines w:val="0"/>
              <w:pageBreakBefore w:val="0"/>
              <w:numPr>
                <w:ilvl w:val="0"/>
                <w:numId w:val="1"/>
              </w:numPr>
              <w:kinsoku/>
              <w:wordWrap/>
              <w:overflowPunct/>
              <w:topLinePunct w:val="0"/>
              <w:autoSpaceDE/>
              <w:autoSpaceDN/>
              <w:bidi w:val="0"/>
              <w:adjustRightInd/>
              <w:snapToGrid w:val="0"/>
              <w:spacing w:line="288" w:lineRule="auto"/>
              <w:ind w:left="425" w:leftChars="0" w:hanging="425" w:firstLineChars="0"/>
              <w:jc w:val="center"/>
              <w:textAlignment w:val="auto"/>
              <w:rPr>
                <w:rFonts w:hint="eastAsia" w:ascii="宋体" w:hAnsi="宋体" w:eastAsia="宋体" w:cs="宋体"/>
                <w:sz w:val="21"/>
                <w:szCs w:val="21"/>
                <w:lang w:val="en-US" w:eastAsia="zh-CN"/>
              </w:rPr>
            </w:pPr>
          </w:p>
        </w:tc>
        <w:tc>
          <w:tcPr>
            <w:tcW w:w="1495" w:type="dxa"/>
          </w:tcPr>
          <w:p w14:paraId="421D5599">
            <w:pPr>
              <w:pStyle w:val="8"/>
              <w:keepNext w:val="0"/>
              <w:keepLines w:val="0"/>
              <w:pageBreakBefore w:val="0"/>
              <w:kinsoku/>
              <w:wordWrap/>
              <w:overflowPunct/>
              <w:topLinePunct w:val="0"/>
              <w:autoSpaceDE/>
              <w:autoSpaceDN/>
              <w:bidi w:val="0"/>
              <w:adjustRightInd/>
              <w:snapToGrid w:val="0"/>
              <w:spacing w:line="288" w:lineRule="auto"/>
              <w:jc w:val="left"/>
              <w:textAlignment w:val="auto"/>
              <w:rPr>
                <w:rFonts w:hint="eastAsia" w:ascii="宋体" w:hAnsi="宋体" w:eastAsia="宋体" w:cs="宋体"/>
                <w:sz w:val="21"/>
                <w:szCs w:val="21"/>
              </w:rPr>
            </w:pPr>
            <w:r>
              <w:rPr>
                <w:rFonts w:hint="eastAsia" w:ascii="宋体" w:hAnsi="宋体" w:eastAsia="宋体" w:cs="宋体"/>
                <w:sz w:val="21"/>
                <w:szCs w:val="21"/>
              </w:rPr>
              <w:t>支付方式</w:t>
            </w:r>
          </w:p>
        </w:tc>
        <w:tc>
          <w:tcPr>
            <w:tcW w:w="5814" w:type="dxa"/>
          </w:tcPr>
          <w:p w14:paraId="3452A6D4">
            <w:pPr>
              <w:pStyle w:val="8"/>
              <w:keepNext w:val="0"/>
              <w:keepLines w:val="0"/>
              <w:pageBreakBefore w:val="0"/>
              <w:kinsoku/>
              <w:wordWrap/>
              <w:overflowPunct/>
              <w:topLinePunct w:val="0"/>
              <w:autoSpaceDE/>
              <w:autoSpaceDN/>
              <w:bidi w:val="0"/>
              <w:adjustRightInd/>
              <w:snapToGrid w:val="0"/>
              <w:spacing w:line="288" w:lineRule="auto"/>
              <w:jc w:val="left"/>
              <w:textAlignment w:val="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货物送到验收合格后，30个工作日内一次性支付</w:t>
            </w:r>
          </w:p>
        </w:tc>
      </w:tr>
      <w:tr w14:paraId="6B0DCF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2" w:type="dxa"/>
          </w:tcPr>
          <w:p w14:paraId="73B36E1E">
            <w:pPr>
              <w:pStyle w:val="8"/>
              <w:keepNext w:val="0"/>
              <w:keepLines w:val="0"/>
              <w:pageBreakBefore w:val="0"/>
              <w:numPr>
                <w:ilvl w:val="0"/>
                <w:numId w:val="1"/>
              </w:numPr>
              <w:kinsoku/>
              <w:wordWrap/>
              <w:overflowPunct/>
              <w:topLinePunct w:val="0"/>
              <w:autoSpaceDE/>
              <w:autoSpaceDN/>
              <w:bidi w:val="0"/>
              <w:adjustRightInd/>
              <w:snapToGrid w:val="0"/>
              <w:spacing w:line="288" w:lineRule="auto"/>
              <w:ind w:left="425" w:leftChars="0" w:hanging="425" w:firstLineChars="0"/>
              <w:jc w:val="center"/>
              <w:textAlignment w:val="auto"/>
              <w:rPr>
                <w:rFonts w:hint="eastAsia" w:ascii="宋体" w:hAnsi="宋体" w:eastAsia="宋体" w:cs="宋体"/>
                <w:sz w:val="21"/>
                <w:szCs w:val="21"/>
                <w:lang w:val="en-US" w:eastAsia="zh-CN"/>
              </w:rPr>
            </w:pPr>
          </w:p>
        </w:tc>
        <w:tc>
          <w:tcPr>
            <w:tcW w:w="1495" w:type="dxa"/>
          </w:tcPr>
          <w:p w14:paraId="130A8E06">
            <w:pPr>
              <w:pStyle w:val="8"/>
              <w:keepNext w:val="0"/>
              <w:keepLines w:val="0"/>
              <w:pageBreakBefore w:val="0"/>
              <w:kinsoku/>
              <w:wordWrap/>
              <w:overflowPunct/>
              <w:topLinePunct w:val="0"/>
              <w:autoSpaceDE/>
              <w:autoSpaceDN/>
              <w:bidi w:val="0"/>
              <w:adjustRightInd/>
              <w:snapToGrid w:val="0"/>
              <w:spacing w:line="288" w:lineRule="auto"/>
              <w:jc w:val="left"/>
              <w:textAlignment w:val="auto"/>
              <w:rPr>
                <w:rFonts w:hint="eastAsia" w:ascii="宋体" w:hAnsi="宋体" w:eastAsia="宋体" w:cs="宋体"/>
                <w:sz w:val="21"/>
                <w:szCs w:val="21"/>
              </w:rPr>
            </w:pPr>
            <w:r>
              <w:rPr>
                <w:rFonts w:hint="eastAsia" w:ascii="宋体" w:hAnsi="宋体" w:eastAsia="宋体" w:cs="宋体"/>
                <w:sz w:val="21"/>
                <w:szCs w:val="21"/>
              </w:rPr>
              <w:t>验收、交付标准和方法</w:t>
            </w:r>
          </w:p>
        </w:tc>
        <w:tc>
          <w:tcPr>
            <w:tcW w:w="5814" w:type="dxa"/>
          </w:tcPr>
          <w:p w14:paraId="2A0EED5D">
            <w:pPr>
              <w:pStyle w:val="8"/>
              <w:keepNext w:val="0"/>
              <w:keepLines w:val="0"/>
              <w:pageBreakBefore w:val="0"/>
              <w:numPr>
                <w:ilvl w:val="0"/>
                <w:numId w:val="3"/>
              </w:numPr>
              <w:kinsoku/>
              <w:wordWrap/>
              <w:overflowPunct/>
              <w:topLinePunct w:val="0"/>
              <w:autoSpaceDE/>
              <w:autoSpaceDN/>
              <w:bidi w:val="0"/>
              <w:adjustRightInd/>
              <w:snapToGrid w:val="0"/>
              <w:spacing w:line="288" w:lineRule="auto"/>
              <w:ind w:left="425" w:leftChars="0" w:hanging="425"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符合国家、行业标准、四川省地方标准规定的验收标准。</w:t>
            </w:r>
          </w:p>
          <w:p w14:paraId="78192CD8">
            <w:pPr>
              <w:pStyle w:val="8"/>
              <w:keepNext w:val="0"/>
              <w:keepLines w:val="0"/>
              <w:pageBreakBefore w:val="0"/>
              <w:numPr>
                <w:ilvl w:val="0"/>
                <w:numId w:val="3"/>
              </w:numPr>
              <w:kinsoku/>
              <w:wordWrap/>
              <w:overflowPunct/>
              <w:topLinePunct w:val="0"/>
              <w:autoSpaceDE/>
              <w:autoSpaceDN/>
              <w:bidi w:val="0"/>
              <w:adjustRightInd/>
              <w:snapToGrid w:val="0"/>
              <w:spacing w:line="288" w:lineRule="auto"/>
              <w:ind w:left="425" w:leftChars="0" w:hanging="425"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验收时如发现所交付的货物有损坏或其它不符合标准及合同规定之情形者，采购</w:t>
            </w:r>
            <w:r>
              <w:rPr>
                <w:rFonts w:hint="eastAsia" w:ascii="宋体" w:hAnsi="宋体" w:eastAsia="宋体" w:cs="宋体"/>
                <w:sz w:val="21"/>
                <w:szCs w:val="21"/>
                <w:lang w:eastAsia="zh-CN"/>
              </w:rPr>
              <w:t>人</w:t>
            </w:r>
            <w:r>
              <w:rPr>
                <w:rFonts w:hint="eastAsia" w:ascii="宋体" w:hAnsi="宋体" w:eastAsia="宋体" w:cs="宋体"/>
                <w:sz w:val="21"/>
                <w:szCs w:val="21"/>
              </w:rPr>
              <w:t>应做出详尽的现场记录，或由采购人与成交人双方签署备忘录，由此产生的时间延误与有关费用由成交人承担。</w:t>
            </w:r>
          </w:p>
        </w:tc>
      </w:tr>
      <w:tr w14:paraId="08E734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2" w:type="dxa"/>
          </w:tcPr>
          <w:p w14:paraId="57E492A5">
            <w:pPr>
              <w:pStyle w:val="8"/>
              <w:keepNext w:val="0"/>
              <w:keepLines w:val="0"/>
              <w:pageBreakBefore w:val="0"/>
              <w:numPr>
                <w:ilvl w:val="0"/>
                <w:numId w:val="1"/>
              </w:numPr>
              <w:kinsoku/>
              <w:wordWrap/>
              <w:overflowPunct/>
              <w:topLinePunct w:val="0"/>
              <w:autoSpaceDE/>
              <w:autoSpaceDN/>
              <w:bidi w:val="0"/>
              <w:adjustRightInd/>
              <w:snapToGrid w:val="0"/>
              <w:spacing w:line="288" w:lineRule="auto"/>
              <w:ind w:left="425" w:leftChars="0" w:hanging="425" w:firstLineChars="0"/>
              <w:jc w:val="center"/>
              <w:textAlignment w:val="auto"/>
              <w:rPr>
                <w:rFonts w:hint="eastAsia" w:ascii="宋体" w:hAnsi="宋体" w:eastAsia="宋体" w:cs="宋体"/>
                <w:sz w:val="21"/>
                <w:szCs w:val="21"/>
                <w:lang w:val="en-US" w:eastAsia="zh-CN"/>
              </w:rPr>
            </w:pPr>
          </w:p>
        </w:tc>
        <w:tc>
          <w:tcPr>
            <w:tcW w:w="1495" w:type="dxa"/>
          </w:tcPr>
          <w:p w14:paraId="6838089A">
            <w:pPr>
              <w:pStyle w:val="8"/>
              <w:keepNext w:val="0"/>
              <w:keepLines w:val="0"/>
              <w:pageBreakBefore w:val="0"/>
              <w:kinsoku/>
              <w:wordWrap/>
              <w:overflowPunct/>
              <w:topLinePunct w:val="0"/>
              <w:autoSpaceDE/>
              <w:autoSpaceDN/>
              <w:bidi w:val="0"/>
              <w:adjustRightInd/>
              <w:snapToGrid w:val="0"/>
              <w:spacing w:line="288" w:lineRule="auto"/>
              <w:jc w:val="left"/>
              <w:textAlignment w:val="auto"/>
              <w:rPr>
                <w:rFonts w:hint="eastAsia" w:ascii="宋体" w:hAnsi="宋体" w:eastAsia="宋体" w:cs="宋体"/>
                <w:sz w:val="21"/>
                <w:szCs w:val="21"/>
              </w:rPr>
            </w:pPr>
            <w:r>
              <w:rPr>
                <w:rFonts w:hint="eastAsia" w:ascii="宋体" w:hAnsi="宋体" w:eastAsia="宋体" w:cs="宋体"/>
                <w:sz w:val="21"/>
                <w:szCs w:val="21"/>
              </w:rPr>
              <w:t>质量保修范围和保修期</w:t>
            </w:r>
          </w:p>
        </w:tc>
        <w:tc>
          <w:tcPr>
            <w:tcW w:w="5814" w:type="dxa"/>
          </w:tcPr>
          <w:p w14:paraId="0B63EBD5">
            <w:pPr>
              <w:pStyle w:val="8"/>
              <w:keepNext w:val="0"/>
              <w:keepLines w:val="0"/>
              <w:pageBreakBefore w:val="0"/>
              <w:numPr>
                <w:ilvl w:val="0"/>
                <w:numId w:val="4"/>
              </w:numPr>
              <w:kinsoku/>
              <w:wordWrap/>
              <w:overflowPunct/>
              <w:topLinePunct w:val="0"/>
              <w:autoSpaceDE/>
              <w:autoSpaceDN/>
              <w:bidi w:val="0"/>
              <w:adjustRightInd/>
              <w:snapToGrid w:val="0"/>
              <w:spacing w:line="288" w:lineRule="auto"/>
              <w:ind w:left="425" w:leftChars="0" w:hanging="425"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质保范围：成交供应商提供的全部货物。</w:t>
            </w:r>
          </w:p>
          <w:p w14:paraId="587C5470">
            <w:pPr>
              <w:pStyle w:val="8"/>
              <w:keepNext w:val="0"/>
              <w:keepLines w:val="0"/>
              <w:pageBreakBefore w:val="0"/>
              <w:numPr>
                <w:ilvl w:val="0"/>
                <w:numId w:val="4"/>
              </w:numPr>
              <w:kinsoku/>
              <w:wordWrap/>
              <w:overflowPunct/>
              <w:topLinePunct w:val="0"/>
              <w:autoSpaceDE/>
              <w:autoSpaceDN/>
              <w:bidi w:val="0"/>
              <w:adjustRightInd/>
              <w:snapToGrid w:val="0"/>
              <w:spacing w:line="288" w:lineRule="auto"/>
              <w:ind w:left="425" w:leftChars="0" w:hanging="425"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质保期：验收合格之日起一年。货物在质保期内非使用人原因造成的质量问题，供应商应负责对货物进行退换，退换的货物的质保期应重新计算。</w:t>
            </w:r>
          </w:p>
        </w:tc>
      </w:tr>
      <w:tr w14:paraId="03BBC1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2" w:type="dxa"/>
          </w:tcPr>
          <w:p w14:paraId="744DEF3E">
            <w:pPr>
              <w:pStyle w:val="8"/>
              <w:keepNext w:val="0"/>
              <w:keepLines w:val="0"/>
              <w:pageBreakBefore w:val="0"/>
              <w:numPr>
                <w:ilvl w:val="0"/>
                <w:numId w:val="1"/>
              </w:numPr>
              <w:kinsoku/>
              <w:wordWrap/>
              <w:overflowPunct/>
              <w:topLinePunct w:val="0"/>
              <w:autoSpaceDE/>
              <w:autoSpaceDN/>
              <w:bidi w:val="0"/>
              <w:adjustRightInd/>
              <w:snapToGrid w:val="0"/>
              <w:spacing w:line="288" w:lineRule="auto"/>
              <w:ind w:left="425" w:leftChars="0" w:hanging="425" w:firstLineChars="0"/>
              <w:jc w:val="center"/>
              <w:textAlignment w:val="auto"/>
              <w:rPr>
                <w:rFonts w:hint="eastAsia" w:ascii="宋体" w:hAnsi="宋体" w:eastAsia="宋体" w:cs="宋体"/>
                <w:sz w:val="21"/>
                <w:szCs w:val="21"/>
                <w:lang w:val="en-US" w:eastAsia="zh-CN"/>
              </w:rPr>
            </w:pPr>
          </w:p>
        </w:tc>
        <w:tc>
          <w:tcPr>
            <w:tcW w:w="1495" w:type="dxa"/>
          </w:tcPr>
          <w:p w14:paraId="2C95D2E5">
            <w:pPr>
              <w:pStyle w:val="8"/>
              <w:keepNext w:val="0"/>
              <w:keepLines w:val="0"/>
              <w:pageBreakBefore w:val="0"/>
              <w:kinsoku/>
              <w:wordWrap/>
              <w:overflowPunct/>
              <w:topLinePunct w:val="0"/>
              <w:autoSpaceDE/>
              <w:autoSpaceDN/>
              <w:bidi w:val="0"/>
              <w:adjustRightInd/>
              <w:snapToGrid w:val="0"/>
              <w:spacing w:line="288" w:lineRule="auto"/>
              <w:jc w:val="left"/>
              <w:textAlignment w:val="auto"/>
              <w:rPr>
                <w:rFonts w:hint="eastAsia" w:ascii="宋体" w:hAnsi="宋体" w:eastAsia="宋体" w:cs="宋体"/>
                <w:sz w:val="21"/>
                <w:szCs w:val="21"/>
              </w:rPr>
            </w:pPr>
            <w:r>
              <w:rPr>
                <w:rFonts w:hint="eastAsia" w:ascii="宋体" w:hAnsi="宋体" w:eastAsia="宋体" w:cs="宋体"/>
                <w:sz w:val="21"/>
                <w:szCs w:val="21"/>
              </w:rPr>
              <w:t>违约责任与解决争议的方法</w:t>
            </w:r>
          </w:p>
        </w:tc>
        <w:tc>
          <w:tcPr>
            <w:tcW w:w="5814" w:type="dxa"/>
          </w:tcPr>
          <w:p w14:paraId="0EEEA728">
            <w:pPr>
              <w:pStyle w:val="8"/>
              <w:keepNext w:val="0"/>
              <w:keepLines w:val="0"/>
              <w:pageBreakBefore w:val="0"/>
              <w:numPr>
                <w:ilvl w:val="0"/>
                <w:numId w:val="5"/>
              </w:numPr>
              <w:kinsoku/>
              <w:wordWrap/>
              <w:overflowPunct/>
              <w:topLinePunct w:val="0"/>
              <w:autoSpaceDE/>
              <w:autoSpaceDN/>
              <w:bidi w:val="0"/>
              <w:adjustRightInd/>
              <w:snapToGrid w:val="0"/>
              <w:spacing w:line="288" w:lineRule="auto"/>
              <w:ind w:left="425" w:leftChars="0" w:hanging="425"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如因成交供应商工作人员在履行职务过程中的疏忽、失职、过错等故意或者过失原因给采购人造成损失或侵害，包括但不限于采购人本身的财产损失、由此而导致的采购人对任何第三方的法律责任等，成交供应商对此均应承担全部的赔偿责任。</w:t>
            </w:r>
          </w:p>
          <w:p w14:paraId="6D6930D1">
            <w:pPr>
              <w:pStyle w:val="8"/>
              <w:keepNext w:val="0"/>
              <w:keepLines w:val="0"/>
              <w:pageBreakBefore w:val="0"/>
              <w:numPr>
                <w:ilvl w:val="0"/>
                <w:numId w:val="5"/>
              </w:numPr>
              <w:kinsoku/>
              <w:wordWrap/>
              <w:overflowPunct/>
              <w:topLinePunct w:val="0"/>
              <w:autoSpaceDE/>
              <w:autoSpaceDN/>
              <w:bidi w:val="0"/>
              <w:adjustRightInd/>
              <w:snapToGrid w:val="0"/>
              <w:spacing w:line="288" w:lineRule="auto"/>
              <w:ind w:left="425" w:leftChars="0" w:hanging="425"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因货物的质量问题发生争议，由质量技术监督部门或其指定的质量鉴定机构进行质量鉴定。货物符合标准的，鉴定费由甲方承担；货物不符合质量标准的，鉴定费由乙方承担。</w:t>
            </w:r>
          </w:p>
          <w:p w14:paraId="6E007E49">
            <w:pPr>
              <w:pStyle w:val="8"/>
              <w:keepNext w:val="0"/>
              <w:keepLines w:val="0"/>
              <w:pageBreakBefore w:val="0"/>
              <w:numPr>
                <w:ilvl w:val="0"/>
                <w:numId w:val="5"/>
              </w:numPr>
              <w:kinsoku/>
              <w:wordWrap/>
              <w:overflowPunct/>
              <w:topLinePunct w:val="0"/>
              <w:autoSpaceDE/>
              <w:autoSpaceDN/>
              <w:bidi w:val="0"/>
              <w:adjustRightInd/>
              <w:snapToGrid w:val="0"/>
              <w:spacing w:line="288" w:lineRule="auto"/>
              <w:ind w:left="425" w:leftChars="0" w:hanging="425" w:firstLineChars="0"/>
              <w:jc w:val="left"/>
              <w:textAlignment w:val="auto"/>
              <w:rPr>
                <w:rFonts w:hint="eastAsia" w:ascii="宋体" w:hAnsi="宋体" w:eastAsia="宋体" w:cs="宋体"/>
                <w:sz w:val="21"/>
                <w:szCs w:val="21"/>
              </w:rPr>
            </w:pPr>
            <w:r>
              <w:rPr>
                <w:rFonts w:hint="eastAsia" w:ascii="宋体" w:hAnsi="宋体" w:eastAsia="宋体" w:cs="宋体"/>
                <w:sz w:val="21"/>
                <w:szCs w:val="21"/>
              </w:rPr>
              <w:t>合同履行期间，若双方发生争议，可协商或由有关部门调解解决，协商或调解不成的，由当事人依法法向法院提起诉讼维护其合法权益。</w:t>
            </w:r>
          </w:p>
        </w:tc>
      </w:tr>
      <w:tr w14:paraId="5DE9D6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jc w:val="center"/>
        </w:trPr>
        <w:tc>
          <w:tcPr>
            <w:tcW w:w="492" w:type="dxa"/>
          </w:tcPr>
          <w:p w14:paraId="7055C6D8">
            <w:pPr>
              <w:pStyle w:val="8"/>
              <w:keepNext w:val="0"/>
              <w:keepLines w:val="0"/>
              <w:pageBreakBefore w:val="0"/>
              <w:numPr>
                <w:ilvl w:val="0"/>
                <w:numId w:val="1"/>
              </w:numPr>
              <w:kinsoku/>
              <w:wordWrap/>
              <w:overflowPunct/>
              <w:topLinePunct w:val="0"/>
              <w:autoSpaceDE/>
              <w:autoSpaceDN/>
              <w:bidi w:val="0"/>
              <w:adjustRightInd/>
              <w:snapToGrid w:val="0"/>
              <w:spacing w:line="288" w:lineRule="auto"/>
              <w:ind w:left="425" w:leftChars="0" w:hanging="425" w:firstLineChars="0"/>
              <w:jc w:val="center"/>
              <w:textAlignment w:val="auto"/>
              <w:rPr>
                <w:rFonts w:hint="eastAsia" w:ascii="宋体" w:hAnsi="宋体" w:eastAsia="宋体" w:cs="宋体"/>
                <w:sz w:val="21"/>
                <w:szCs w:val="21"/>
                <w:lang w:val="en-US" w:eastAsia="zh-CN"/>
              </w:rPr>
            </w:pPr>
          </w:p>
        </w:tc>
        <w:tc>
          <w:tcPr>
            <w:tcW w:w="1495" w:type="dxa"/>
          </w:tcPr>
          <w:p w14:paraId="1FC42C65">
            <w:pPr>
              <w:pStyle w:val="8"/>
              <w:keepNext w:val="0"/>
              <w:keepLines w:val="0"/>
              <w:pageBreakBefore w:val="0"/>
              <w:kinsoku/>
              <w:wordWrap/>
              <w:overflowPunct/>
              <w:topLinePunct w:val="0"/>
              <w:autoSpaceDE/>
              <w:autoSpaceDN/>
              <w:bidi w:val="0"/>
              <w:adjustRightInd/>
              <w:snapToGrid w:val="0"/>
              <w:spacing w:line="288" w:lineRule="auto"/>
              <w:jc w:val="left"/>
              <w:textAlignment w:val="auto"/>
              <w:rPr>
                <w:rFonts w:hint="eastAsia" w:ascii="宋体" w:hAnsi="宋体" w:eastAsia="宋体" w:cs="宋体"/>
                <w:sz w:val="21"/>
                <w:szCs w:val="21"/>
              </w:rPr>
            </w:pPr>
            <w:r>
              <w:rPr>
                <w:rFonts w:hint="eastAsia" w:ascii="宋体" w:hAnsi="宋体" w:eastAsia="宋体" w:cs="宋体"/>
                <w:sz w:val="21"/>
                <w:szCs w:val="21"/>
              </w:rPr>
              <w:t>包装方式及运输</w:t>
            </w:r>
          </w:p>
        </w:tc>
        <w:tc>
          <w:tcPr>
            <w:tcW w:w="5814" w:type="dxa"/>
          </w:tcPr>
          <w:p w14:paraId="1E1C5D7B">
            <w:pPr>
              <w:pStyle w:val="8"/>
              <w:keepNext w:val="0"/>
              <w:keepLines w:val="0"/>
              <w:pageBreakBefore w:val="0"/>
              <w:kinsoku/>
              <w:wordWrap/>
              <w:overflowPunct/>
              <w:topLinePunct w:val="0"/>
              <w:autoSpaceDE/>
              <w:autoSpaceDN/>
              <w:bidi w:val="0"/>
              <w:adjustRightInd/>
              <w:snapToGrid w:val="0"/>
              <w:spacing w:line="288" w:lineRule="auto"/>
              <w:jc w:val="left"/>
              <w:textAlignment w:val="auto"/>
              <w:rPr>
                <w:rFonts w:hint="eastAsia" w:ascii="宋体" w:hAnsi="宋体" w:eastAsia="宋体" w:cs="宋体"/>
                <w:sz w:val="21"/>
                <w:szCs w:val="21"/>
              </w:rPr>
            </w:pPr>
            <w:r>
              <w:rPr>
                <w:rFonts w:hint="eastAsia" w:ascii="宋体" w:hAnsi="宋体" w:eastAsia="宋体" w:cs="宋体"/>
                <w:sz w:val="21"/>
                <w:szCs w:val="21"/>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5F8802A9">
      <w:pPr>
        <w:rPr>
          <w:rFonts w:hint="eastAsia" w:ascii="宋体" w:hAnsi="宋体" w:eastAsia="宋体" w:cs="宋体"/>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27F494"/>
    <w:multiLevelType w:val="singleLevel"/>
    <w:tmpl w:val="CE27F494"/>
    <w:lvl w:ilvl="0" w:tentative="0">
      <w:start w:val="1"/>
      <w:numFmt w:val="decimal"/>
      <w:lvlText w:val="%1."/>
      <w:lvlJc w:val="left"/>
      <w:pPr>
        <w:ind w:left="425" w:hanging="425"/>
      </w:pPr>
      <w:rPr>
        <w:rFonts w:hint="default"/>
      </w:rPr>
    </w:lvl>
  </w:abstractNum>
  <w:abstractNum w:abstractNumId="1">
    <w:nsid w:val="ECD737BF"/>
    <w:multiLevelType w:val="singleLevel"/>
    <w:tmpl w:val="ECD737BF"/>
    <w:lvl w:ilvl="0" w:tentative="0">
      <w:start w:val="1"/>
      <w:numFmt w:val="decimal"/>
      <w:lvlText w:val="%1)"/>
      <w:lvlJc w:val="left"/>
      <w:pPr>
        <w:ind w:left="425" w:hanging="425"/>
      </w:pPr>
      <w:rPr>
        <w:rFonts w:hint="default"/>
      </w:rPr>
    </w:lvl>
  </w:abstractNum>
  <w:abstractNum w:abstractNumId="2">
    <w:nsid w:val="FB1B969F"/>
    <w:multiLevelType w:val="singleLevel"/>
    <w:tmpl w:val="FB1B969F"/>
    <w:lvl w:ilvl="0" w:tentative="0">
      <w:start w:val="1"/>
      <w:numFmt w:val="decimal"/>
      <w:lvlText w:val="%1)"/>
      <w:lvlJc w:val="left"/>
      <w:pPr>
        <w:ind w:left="425" w:hanging="425"/>
      </w:pPr>
      <w:rPr>
        <w:rFonts w:hint="default"/>
      </w:rPr>
    </w:lvl>
  </w:abstractNum>
  <w:abstractNum w:abstractNumId="3">
    <w:nsid w:val="5585EB11"/>
    <w:multiLevelType w:val="singleLevel"/>
    <w:tmpl w:val="5585EB11"/>
    <w:lvl w:ilvl="0" w:tentative="0">
      <w:start w:val="1"/>
      <w:numFmt w:val="decimal"/>
      <w:lvlText w:val="%1)"/>
      <w:lvlJc w:val="left"/>
      <w:pPr>
        <w:ind w:left="425" w:hanging="425"/>
      </w:pPr>
      <w:rPr>
        <w:rFonts w:hint="default"/>
      </w:rPr>
    </w:lvl>
  </w:abstractNum>
  <w:abstractNum w:abstractNumId="4">
    <w:nsid w:val="61F108A1"/>
    <w:multiLevelType w:val="singleLevel"/>
    <w:tmpl w:val="61F108A1"/>
    <w:lvl w:ilvl="0" w:tentative="0">
      <w:start w:val="1"/>
      <w:numFmt w:val="decimal"/>
      <w:lvlText w:val="%1)"/>
      <w:lvlJc w:val="left"/>
      <w:pPr>
        <w:ind w:left="425" w:hanging="425"/>
      </w:pPr>
      <w:rPr>
        <w:rFont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C1155F"/>
    <w:rsid w:val="23C44B41"/>
    <w:rsid w:val="256A4F48"/>
    <w:rsid w:val="2BD95555"/>
    <w:rsid w:val="2C911DAD"/>
    <w:rsid w:val="2F915DC1"/>
    <w:rsid w:val="3A972031"/>
    <w:rsid w:val="3B251F7C"/>
    <w:rsid w:val="40E21FA4"/>
    <w:rsid w:val="51D626A2"/>
    <w:rsid w:val="55124D6B"/>
    <w:rsid w:val="69146ADF"/>
    <w:rsid w:val="6C4B1C93"/>
    <w:rsid w:val="75231EF4"/>
    <w:rsid w:val="782B7BDB"/>
    <w:rsid w:val="787126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adjustRightInd w:val="0"/>
      <w:snapToGrid w:val="0"/>
      <w:spacing w:before="20" w:beforeLines="0" w:beforeAutospacing="0" w:after="20" w:afterLines="0" w:afterAutospacing="0" w:line="360" w:lineRule="auto"/>
      <w:jc w:val="center"/>
      <w:outlineLvl w:val="0"/>
    </w:pPr>
    <w:rPr>
      <w:rFonts w:ascii="Times New Roman" w:hAnsi="Times New Roman" w:eastAsia="宋体" w:cs="Times New Roman"/>
      <w:b/>
      <w:kern w:val="44"/>
      <w:sz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afterLines="0"/>
    </w:pPr>
  </w:style>
  <w:style w:type="paragraph" w:styleId="4">
    <w:name w:val="toc 3"/>
    <w:basedOn w:val="1"/>
    <w:next w:val="1"/>
    <w:qFormat/>
    <w:uiPriority w:val="0"/>
    <w:pPr>
      <w:snapToGrid w:val="0"/>
      <w:spacing w:line="480" w:lineRule="auto"/>
      <w:ind w:left="840" w:leftChars="400"/>
    </w:pPr>
    <w:rPr>
      <w:rFonts w:asciiTheme="minorAscii" w:hAnsiTheme="minorAscii"/>
      <w:sz w:val="24"/>
    </w:rPr>
  </w:style>
  <w:style w:type="paragraph" w:styleId="5">
    <w:name w:val="toc 1"/>
    <w:basedOn w:val="1"/>
    <w:next w:val="1"/>
    <w:qFormat/>
    <w:uiPriority w:val="0"/>
    <w:pPr>
      <w:snapToGrid w:val="0"/>
      <w:spacing w:line="480" w:lineRule="auto"/>
    </w:pPr>
    <w:rPr>
      <w:rFonts w:asciiTheme="minorAscii" w:hAnsiTheme="minorAscii"/>
      <w:sz w:val="24"/>
    </w:rPr>
  </w:style>
  <w:style w:type="paragraph" w:customStyle="1" w:styleId="8">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1255</Words>
  <Characters>1261</Characters>
  <Lines>0</Lines>
  <Paragraphs>0</Paragraphs>
  <TotalTime>22</TotalTime>
  <ScaleCrop>false</ScaleCrop>
  <LinksUpToDate>false</LinksUpToDate>
  <CharactersWithSpaces>1267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2026-05-20T08:53:00Z</dcterms:created>
  <dc:creator>Windows</dc:creator>
  <cp:lastModifiedBy>dd</cp:lastModifiedBy>
  <dcterms:modified xsi:type="dcterms:W3CDTF">2026-08-28T02:29:24Z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B23D763E3BA14F6EA0F8D7BC374571AB_13</vt:lpwstr>
  </property>
  <property fmtid="{D5CDD505-2E9C-101B-9397-08002B2CF9AE}" pid="4" name="KSOTemplateDocerSaveRecord">
    <vt:lpwstr>eyJoZGlkIjoiZDQ5Y2Y4ZTQxYTA2YzNjZDYyNTI2N2FhMWM5ZThhYjUiLCJ1c2VySWQiOiI1OTc3NjQ4ODkifQ==</vt:lpwstr>
  </property>
</Properties>
</file>